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92" w:rsidRDefault="00D340E0" w:rsidP="00A62636">
      <w:pPr>
        <w:jc w:val="both"/>
        <w:rPr>
          <w:rFonts w:ascii="Arial" w:hAnsi="Arial"/>
          <w:sz w:val="18"/>
          <w:szCs w:val="20"/>
        </w:rPr>
      </w:pPr>
      <w:r>
        <w:rPr>
          <w:rFonts w:ascii="Arial" w:hAnsi="Arial"/>
          <w:noProof/>
          <w:sz w:val="20"/>
          <w:szCs w:val="20"/>
          <w:lang w:eastAsia="de-DE" w:bidi="ar-SA"/>
        </w:rPr>
        <w:drawing>
          <wp:anchor distT="0" distB="0" distL="114300" distR="114300" simplePos="0" relativeHeight="251656192" behindDoc="1" locked="0" layoutInCell="1" allowOverlap="1" wp14:anchorId="3125A942" wp14:editId="0CDB08F8">
            <wp:simplePos x="0" y="0"/>
            <wp:positionH relativeFrom="column">
              <wp:posOffset>33020</wp:posOffset>
            </wp:positionH>
            <wp:positionV relativeFrom="paragraph">
              <wp:posOffset>82867</wp:posOffset>
            </wp:positionV>
            <wp:extent cx="2548255" cy="53975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a:stretch>
                      <a:fillRect/>
                    </a:stretch>
                  </pic:blipFill>
                  <pic:spPr bwMode="auto">
                    <a:xfrm>
                      <a:off x="0" y="0"/>
                      <a:ext cx="2548255" cy="539750"/>
                    </a:xfrm>
                    <a:prstGeom prst="rect">
                      <a:avLst/>
                    </a:prstGeom>
                    <a:noFill/>
                    <a:ln w="9525">
                      <a:noFill/>
                      <a:miter lim="800000"/>
                      <a:headEnd/>
                      <a:tailEnd/>
                    </a:ln>
                  </pic:spPr>
                </pic:pic>
              </a:graphicData>
            </a:graphic>
          </wp:anchor>
        </w:drawing>
      </w:r>
    </w:p>
    <w:p w:rsidR="00D340E0" w:rsidRDefault="00D340E0" w:rsidP="00A62636">
      <w:pPr>
        <w:jc w:val="both"/>
        <w:rPr>
          <w:rFonts w:ascii="Arial" w:hAnsi="Arial"/>
          <w:sz w:val="18"/>
          <w:szCs w:val="20"/>
        </w:rPr>
      </w:pPr>
    </w:p>
    <w:p w:rsidR="00D340E0" w:rsidRDefault="00D340E0" w:rsidP="00A62636">
      <w:pPr>
        <w:jc w:val="both"/>
        <w:rPr>
          <w:rFonts w:ascii="Arial" w:hAnsi="Arial"/>
          <w:sz w:val="18"/>
          <w:szCs w:val="20"/>
        </w:rPr>
      </w:pPr>
    </w:p>
    <w:p w:rsidR="00D340E0" w:rsidRDefault="00D340E0" w:rsidP="00A62636">
      <w:pPr>
        <w:jc w:val="both"/>
        <w:rPr>
          <w:rFonts w:ascii="Arial" w:hAnsi="Arial"/>
          <w:sz w:val="18"/>
          <w:szCs w:val="20"/>
        </w:rPr>
      </w:pPr>
    </w:p>
    <w:p w:rsidR="00D340E0" w:rsidRDefault="00D340E0" w:rsidP="00A62636">
      <w:pPr>
        <w:jc w:val="both"/>
        <w:rPr>
          <w:rFonts w:ascii="Arial" w:hAnsi="Arial"/>
          <w:sz w:val="18"/>
          <w:szCs w:val="20"/>
        </w:rPr>
      </w:pPr>
    </w:p>
    <w:p w:rsidR="009A7392" w:rsidRDefault="00A62636" w:rsidP="00A62636">
      <w:pPr>
        <w:jc w:val="both"/>
        <w:rPr>
          <w:rFonts w:ascii="Arial" w:hAnsi="Arial"/>
          <w:sz w:val="18"/>
          <w:szCs w:val="20"/>
        </w:rPr>
      </w:pPr>
      <w:r>
        <w:rPr>
          <w:rFonts w:ascii="Arial" w:hAnsi="Arial"/>
          <w:noProof/>
          <w:sz w:val="18"/>
          <w:szCs w:val="20"/>
          <w:lang w:eastAsia="de-DE" w:bidi="ar-SA"/>
        </w:rPr>
        <mc:AlternateContent>
          <mc:Choice Requires="wps">
            <w:drawing>
              <wp:anchor distT="0" distB="0" distL="114300" distR="114300" simplePos="0" relativeHeight="251659264" behindDoc="0" locked="0" layoutInCell="1" allowOverlap="1" wp14:anchorId="3A0D2A6E" wp14:editId="26218884">
                <wp:simplePos x="0" y="0"/>
                <wp:positionH relativeFrom="column">
                  <wp:posOffset>32385</wp:posOffset>
                </wp:positionH>
                <wp:positionV relativeFrom="paragraph">
                  <wp:posOffset>49213</wp:posOffset>
                </wp:positionV>
                <wp:extent cx="2100263" cy="0"/>
                <wp:effectExtent l="0" t="0" r="33655" b="19050"/>
                <wp:wrapNone/>
                <wp:docPr id="6" name="Gerader Verbinder 6"/>
                <wp:cNvGraphicFramePr/>
                <a:graphic xmlns:a="http://schemas.openxmlformats.org/drawingml/2006/main">
                  <a:graphicData uri="http://schemas.microsoft.com/office/word/2010/wordprocessingShape">
                    <wps:wsp>
                      <wps:cNvCnPr/>
                      <wps:spPr>
                        <a:xfrm>
                          <a:off x="0" y="0"/>
                          <a:ext cx="210026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DD034" id="Gerader Verbinde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9pt" to="167.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" strokecolor="#5b9bd5 [3204]" strokeweight="1.5pt">
                <v:stroke joinstyle="miter"/>
              </v:line>
            </w:pict>
          </mc:Fallback>
        </mc:AlternateContent>
      </w:r>
      <w:r w:rsidR="00D71E87">
        <w:rPr>
          <w:rFonts w:ascii="Arial" w:hAnsi="Arial"/>
          <w:noProof/>
          <w:sz w:val="18"/>
          <w:szCs w:val="20"/>
          <w:lang w:eastAsia="de-DE" w:bidi="ar-SA"/>
        </w:rPr>
        <mc:AlternateContent>
          <mc:Choice Requires="wps">
            <w:drawing>
              <wp:anchor distT="0" distB="0" distL="114300" distR="114300" simplePos="0" relativeHeight="251657216" behindDoc="0" locked="0" layoutInCell="1" allowOverlap="1">
                <wp:simplePos x="0" y="0"/>
                <wp:positionH relativeFrom="column">
                  <wp:posOffset>-4273550</wp:posOffset>
                </wp:positionH>
                <wp:positionV relativeFrom="paragraph">
                  <wp:posOffset>13335</wp:posOffset>
                </wp:positionV>
                <wp:extent cx="2546350" cy="0"/>
                <wp:effectExtent l="20955" t="19050" r="1397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0"/>
                        </a:xfrm>
                        <a:prstGeom prst="straightConnector1">
                          <a:avLst/>
                        </a:prstGeom>
                        <a:noFill/>
                        <a:ln w="25400" cmpd="sng">
                          <a:solidFill>
                            <a:schemeClr val="accent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DEBB93" id="_x0000_t32" coordsize="21600,21600" o:spt="32" o:oned="t" path="m,l21600,21600e" filled="f">
                <v:path arrowok="t" fillok="f" o:connecttype="none"/>
                <o:lock v:ext="edit" shapetype="t"/>
              </v:shapetype>
              <v:shape id="AutoShape 2" o:spid="_x0000_s1026" type="#_x0000_t32" style="position:absolute;margin-left:-336.5pt;margin-top:1.05pt;width:2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" strokecolor="#5b9bd5 [3204]" strokeweight="2pt">
                <v:shadow color="#525252 [1606]" opacity=".5" offset="1pt"/>
              </v:shape>
            </w:pict>
          </mc:Fallback>
        </mc:AlternateContent>
      </w:r>
      <w:r w:rsidR="00D340E0">
        <w:rPr>
          <w:noProof/>
          <w:lang w:eastAsia="de-DE" w:bidi="ar-SA"/>
        </w:rPr>
        <mc:AlternateContent>
          <mc:Choice Requires="wps">
            <w:drawing>
              <wp:anchor distT="0" distB="0" distL="114300" distR="114300" simplePos="0" relativeHeight="251658240" behindDoc="1" locked="0" layoutInCell="1" allowOverlap="1" wp14:anchorId="634DFB87" wp14:editId="41B762E7">
                <wp:simplePos x="0" y="0"/>
                <wp:positionH relativeFrom="column">
                  <wp:posOffset>31750</wp:posOffset>
                </wp:positionH>
                <wp:positionV relativeFrom="paragraph">
                  <wp:posOffset>74930</wp:posOffset>
                </wp:positionV>
                <wp:extent cx="4161155" cy="155575"/>
                <wp:effectExtent l="0" t="0" r="0" b="0"/>
                <wp:wrapSquare wrapText="bothSides"/>
                <wp:docPr id="3" name="Rahmen2"/>
                <wp:cNvGraphicFramePr/>
                <a:graphic xmlns:a="http://schemas.openxmlformats.org/drawingml/2006/main">
                  <a:graphicData uri="http://schemas.microsoft.com/office/word/2010/wordprocessingShape">
                    <wps:wsp>
                      <wps:cNvSpPr txBox="1"/>
                      <wps:spPr>
                        <a:xfrm>
                          <a:off x="0" y="0"/>
                          <a:ext cx="4161155" cy="155575"/>
                        </a:xfrm>
                        <a:prstGeom prst="rect">
                          <a:avLst/>
                        </a:prstGeom>
                      </wps:spPr>
                      <wps:txbx>
                        <w:txbxContent>
                          <w:p w:rsidR="009A7392" w:rsidRDefault="001604BD">
                            <w:pPr>
                              <w:pStyle w:val="Rahmeninhalt"/>
                              <w:spacing w:line="216" w:lineRule="auto"/>
                              <w:rPr>
                                <w:rFonts w:hint="eastAsia"/>
                              </w:rPr>
                            </w:pPr>
                            <w:r>
                              <w:rPr>
                                <w:rFonts w:ascii="Arial" w:eastAsia="Arial" w:hAnsi="Arial"/>
                                <w:b/>
                                <w:bCs/>
                                <w:color w:val="009EE1"/>
                              </w:rPr>
                              <w:t>Fakultät Versorgungstechnik</w:t>
                            </w:r>
                          </w:p>
                        </w:txbxContent>
                      </wps:txbx>
                      <wps:bodyPr lIns="0" tIns="0" rIns="0" bIns="0" anchor="t">
                        <a:noAutofit/>
                      </wps:bodyPr>
                    </wps:wsp>
                  </a:graphicData>
                </a:graphic>
                <wp14:sizeRelH relativeFrom="margin">
                  <wp14:pctWidth>68000</wp14:pctWidth>
                </wp14:sizeRelH>
              </wp:anchor>
            </w:drawing>
          </mc:Choice>
          <mc:Fallback>
            <w:pict>
              <v:shapetype w14:anchorId="634DFB87" id="_x0000_t202" coordsize="21600,21600" o:spt="202" path="m,l,21600r21600,l21600,xe">
                <v:stroke joinstyle="miter"/>
                <v:path gradientshapeok="t" o:connecttype="rect"/>
              </v:shapetype>
              <v:shape id="Rahmen2" o:spid="_x0000_s1026" type="#_x0000_t202" style="position:absolute;left:0;text-align:left;margin-left:2.5pt;margin-top:5.9pt;width:327.65pt;height:12.25pt;z-index:-251655168;visibility:visible;mso-wrap-style:square;mso-width-percent:680;mso-wrap-distance-left:9pt;mso-wrap-distance-top:0;mso-wrap-distance-right:9pt;mso-wrap-distance-bottom:0;mso-position-horizontal:absolute;mso-position-horizontal-relative:text;mso-position-vertical:absolute;mso-position-vertical-relative:text;mso-width-percent:68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" filled="f" stroked="f">
                <v:textbox inset="0,0,0,0">
                  <w:txbxContent>
                    <w:p w:rsidR="009A7392" w:rsidRDefault="001604BD">
                      <w:pPr>
                        <w:pStyle w:val="Rahmeninhalt"/>
                        <w:spacing w:line="216" w:lineRule="auto"/>
                        <w:rPr>
                          <w:rFonts w:hint="eastAsia"/>
                        </w:rPr>
                      </w:pPr>
                      <w:r>
                        <w:rPr>
                          <w:rFonts w:ascii="Arial" w:eastAsia="Arial" w:hAnsi="Arial"/>
                          <w:b/>
                          <w:bCs/>
                          <w:color w:val="009EE1"/>
                        </w:rPr>
                        <w:t>Fakultät Versorgungstechnik</w:t>
                      </w:r>
                    </w:p>
                  </w:txbxContent>
                </v:textbox>
                <w10:wrap type="square"/>
              </v:shape>
            </w:pict>
          </mc:Fallback>
        </mc:AlternateContent>
      </w:r>
    </w:p>
    <w:p w:rsidR="009A7392" w:rsidRDefault="009A7392" w:rsidP="00A62636">
      <w:pPr>
        <w:jc w:val="both"/>
        <w:rPr>
          <w:rFonts w:ascii="Arial" w:hAnsi="Arial"/>
          <w:sz w:val="18"/>
          <w:szCs w:val="20"/>
        </w:rPr>
      </w:pPr>
    </w:p>
    <w:p w:rsidR="009A7392" w:rsidRDefault="009A7392" w:rsidP="00A62636">
      <w:pPr>
        <w:jc w:val="both"/>
        <w:rPr>
          <w:rFonts w:ascii="Arial" w:hAnsi="Arial"/>
          <w:sz w:val="18"/>
          <w:szCs w:val="20"/>
        </w:rPr>
      </w:pPr>
    </w:p>
    <w:p w:rsidR="00D71E87" w:rsidRDefault="00D71E87" w:rsidP="00A62636">
      <w:pPr>
        <w:jc w:val="both"/>
        <w:rPr>
          <w:rFonts w:ascii="Arial" w:hAnsi="Arial"/>
          <w:b/>
          <w:bCs/>
          <w:sz w:val="28"/>
          <w:szCs w:val="28"/>
        </w:rPr>
      </w:pPr>
    </w:p>
    <w:p w:rsidR="009A7392" w:rsidRDefault="001604BD" w:rsidP="00A62636">
      <w:pPr>
        <w:jc w:val="both"/>
        <w:rPr>
          <w:rFonts w:ascii="Arial" w:hAnsi="Arial"/>
          <w:b/>
          <w:bCs/>
          <w:sz w:val="28"/>
          <w:szCs w:val="28"/>
        </w:rPr>
      </w:pPr>
      <w:r>
        <w:rPr>
          <w:rFonts w:ascii="Arial" w:hAnsi="Arial"/>
          <w:b/>
          <w:bCs/>
          <w:sz w:val="28"/>
          <w:szCs w:val="28"/>
        </w:rPr>
        <w:t xml:space="preserve">Einsatz von Tutorinnen und Tutoren </w:t>
      </w:r>
    </w:p>
    <w:p w:rsidR="00A62636" w:rsidRDefault="00A62636" w:rsidP="00A62636">
      <w:pPr>
        <w:jc w:val="both"/>
        <w:rPr>
          <w:rFonts w:ascii="Arial" w:hAnsi="Arial"/>
          <w:sz w:val="18"/>
          <w:szCs w:val="20"/>
        </w:rPr>
      </w:pPr>
    </w:p>
    <w:p w:rsidR="00A62636" w:rsidRDefault="00A62636" w:rsidP="00A62636">
      <w:pPr>
        <w:jc w:val="both"/>
        <w:rPr>
          <w:rFonts w:ascii="Arial" w:hAnsi="Arial"/>
        </w:rPr>
      </w:pPr>
    </w:p>
    <w:p w:rsidR="009A7392" w:rsidRPr="00D340E0" w:rsidRDefault="001604BD" w:rsidP="00A62636">
      <w:pPr>
        <w:jc w:val="both"/>
        <w:rPr>
          <w:rFonts w:hint="eastAsia"/>
        </w:rPr>
      </w:pPr>
      <w:r>
        <w:rPr>
          <w:rFonts w:ascii="Arial" w:hAnsi="Arial"/>
        </w:rPr>
        <w:t>Die Veranstaltung von Tutorien und der Einsatz von Tutorinnen und Tutoren in der Fakultät werden durch Frau Dr. Stank koordiniert.</w:t>
      </w:r>
    </w:p>
    <w:p w:rsidR="009A7392" w:rsidRDefault="009A7392" w:rsidP="00A62636">
      <w:pPr>
        <w:jc w:val="both"/>
        <w:rPr>
          <w:rFonts w:ascii="Arial" w:hAnsi="Arial"/>
        </w:rPr>
      </w:pPr>
    </w:p>
    <w:p w:rsidR="00D71E87" w:rsidRDefault="00D71E87" w:rsidP="00A62636">
      <w:pPr>
        <w:jc w:val="both"/>
        <w:rPr>
          <w:rFonts w:ascii="Arial" w:hAnsi="Arial"/>
          <w:b/>
          <w:bCs/>
        </w:rPr>
      </w:pPr>
    </w:p>
    <w:p w:rsidR="009A7392" w:rsidRDefault="001604BD" w:rsidP="00A62636">
      <w:pPr>
        <w:jc w:val="both"/>
        <w:rPr>
          <w:rFonts w:ascii="Arial" w:hAnsi="Arial"/>
          <w:b/>
          <w:bCs/>
        </w:rPr>
      </w:pPr>
      <w:r>
        <w:rPr>
          <w:rFonts w:ascii="Arial" w:hAnsi="Arial"/>
          <w:b/>
          <w:bCs/>
        </w:rPr>
        <w:t>Voraussetzung für eine Einstellung:</w:t>
      </w:r>
    </w:p>
    <w:p w:rsidR="009A7392" w:rsidRDefault="009A7392" w:rsidP="00A62636">
      <w:pPr>
        <w:jc w:val="both"/>
        <w:rPr>
          <w:rFonts w:ascii="Arial" w:hAnsi="Arial"/>
        </w:rPr>
      </w:pPr>
    </w:p>
    <w:p w:rsidR="009A7392" w:rsidRDefault="001604BD" w:rsidP="00A62636">
      <w:pPr>
        <w:jc w:val="both"/>
        <w:rPr>
          <w:rFonts w:ascii="Arial" w:hAnsi="Arial"/>
        </w:rPr>
      </w:pPr>
      <w:r>
        <w:rPr>
          <w:rFonts w:ascii="Arial" w:hAnsi="Arial"/>
        </w:rPr>
        <w:t>Der Einsatz von Studierenden als Tutorinnen und Tutoren setzt voraus, dass sie an einer Tutorenschulung teilgenommen haben. Studierende, die erstmals ein Tutorium übernehmen, müssen deshalb vor Beginn des Semesters an einer Tutorenschulung teilnehmen.</w:t>
      </w:r>
    </w:p>
    <w:p w:rsidR="009A7392" w:rsidRDefault="009A7392" w:rsidP="00A62636">
      <w:pPr>
        <w:jc w:val="both"/>
        <w:rPr>
          <w:rFonts w:ascii="Arial" w:hAnsi="Arial"/>
        </w:rPr>
      </w:pPr>
    </w:p>
    <w:p w:rsidR="009A7392" w:rsidRDefault="001604BD" w:rsidP="00A62636">
      <w:pPr>
        <w:jc w:val="both"/>
        <w:rPr>
          <w:rFonts w:hint="eastAsia"/>
        </w:rPr>
      </w:pPr>
      <w:r>
        <w:rPr>
          <w:rFonts w:ascii="Arial" w:hAnsi="Arial"/>
        </w:rPr>
        <w:t xml:space="preserve">Im Antrag für den Vertrag für studentische Hilfskräfte muss </w:t>
      </w:r>
      <w:r w:rsidR="00D340E0">
        <w:rPr>
          <w:rFonts w:ascii="Arial" w:hAnsi="Arial"/>
        </w:rPr>
        <w:t>angegeben sein</w:t>
      </w:r>
      <w:r>
        <w:rPr>
          <w:rFonts w:ascii="Arial" w:hAnsi="Arial"/>
        </w:rPr>
        <w:t xml:space="preserve">, für welches Tutorium die Anstellung sein soll. </w:t>
      </w:r>
      <w:r w:rsidR="00D340E0">
        <w:rPr>
          <w:rFonts w:ascii="Arial" w:hAnsi="Arial"/>
        </w:rPr>
        <w:t>Allgemeine Angaben wie</w:t>
      </w:r>
      <w:r>
        <w:rPr>
          <w:rFonts w:ascii="Arial" w:hAnsi="Arial"/>
        </w:rPr>
        <w:t xml:space="preserve"> „T</w:t>
      </w:r>
      <w:r w:rsidR="00D340E0">
        <w:rPr>
          <w:rFonts w:ascii="Arial" w:hAnsi="Arial"/>
        </w:rPr>
        <w:t>utorium“ oder „</w:t>
      </w:r>
      <w:proofErr w:type="spellStart"/>
      <w:r w:rsidR="00D340E0">
        <w:rPr>
          <w:rFonts w:ascii="Arial" w:hAnsi="Arial"/>
        </w:rPr>
        <w:t>Tutoriumsarbeit</w:t>
      </w:r>
      <w:proofErr w:type="spellEnd"/>
      <w:r w:rsidR="00D340E0">
        <w:rPr>
          <w:rFonts w:ascii="Arial" w:hAnsi="Arial"/>
        </w:rPr>
        <w:t>“ sind nicht hinreichend, korrekt sind spezielle Angaben wie</w:t>
      </w:r>
      <w:r>
        <w:rPr>
          <w:rFonts w:ascii="Arial" w:hAnsi="Arial"/>
        </w:rPr>
        <w:t xml:space="preserve"> z.B. „Tutorium für allgemeine Chemie“</w:t>
      </w:r>
      <w:r w:rsidR="00D340E0">
        <w:rPr>
          <w:rFonts w:ascii="Arial" w:hAnsi="Arial"/>
        </w:rPr>
        <w:t>. Verwenden Sie dabei z</w:t>
      </w:r>
      <w:r>
        <w:rPr>
          <w:rFonts w:ascii="Arial" w:hAnsi="Arial"/>
        </w:rPr>
        <w:t xml:space="preserve">ur allgemeinen Klarheit bitte keine Abkürzungen und </w:t>
      </w:r>
      <w:r w:rsidR="00D340E0">
        <w:rPr>
          <w:rFonts w:ascii="Arial" w:hAnsi="Arial"/>
        </w:rPr>
        <w:t>füllen Sie den Antrag vollständig aus</w:t>
      </w:r>
      <w:r>
        <w:rPr>
          <w:rFonts w:ascii="Arial" w:hAnsi="Arial"/>
        </w:rPr>
        <w:t xml:space="preserve">. </w:t>
      </w:r>
    </w:p>
    <w:p w:rsidR="009A7392" w:rsidRDefault="009A7392" w:rsidP="00A62636">
      <w:pPr>
        <w:jc w:val="both"/>
        <w:rPr>
          <w:rFonts w:ascii="Arial" w:hAnsi="Arial"/>
        </w:rPr>
      </w:pPr>
    </w:p>
    <w:p w:rsidR="009A7392" w:rsidRDefault="001604BD" w:rsidP="00A62636">
      <w:pPr>
        <w:jc w:val="both"/>
        <w:rPr>
          <w:rFonts w:hint="eastAsia"/>
        </w:rPr>
      </w:pPr>
      <w:r>
        <w:rPr>
          <w:rFonts w:ascii="Arial" w:hAnsi="Arial"/>
        </w:rPr>
        <w:t xml:space="preserve">Bei Ersteinstellung </w:t>
      </w:r>
      <w:r w:rsidR="00D340E0">
        <w:rPr>
          <w:rFonts w:ascii="Arial" w:hAnsi="Arial"/>
        </w:rPr>
        <w:t>müssen</w:t>
      </w:r>
      <w:r>
        <w:rPr>
          <w:rFonts w:ascii="Arial" w:hAnsi="Arial"/>
        </w:rPr>
        <w:t xml:space="preserve"> folgende Unterlagen eingereicht werden:</w:t>
      </w:r>
    </w:p>
    <w:p w:rsidR="009A7392" w:rsidRDefault="001604BD" w:rsidP="00A62636">
      <w:pPr>
        <w:jc w:val="both"/>
        <w:rPr>
          <w:rFonts w:ascii="Arial" w:hAnsi="Arial"/>
        </w:rPr>
      </w:pPr>
      <w:r>
        <w:rPr>
          <w:rFonts w:ascii="Arial" w:hAnsi="Arial"/>
        </w:rPr>
        <w:t xml:space="preserve">    </w:t>
      </w:r>
    </w:p>
    <w:p w:rsidR="009A7392" w:rsidRPr="00D340E0" w:rsidRDefault="001604BD" w:rsidP="00A62636">
      <w:pPr>
        <w:pStyle w:val="Listenabsatz"/>
        <w:numPr>
          <w:ilvl w:val="0"/>
          <w:numId w:val="1"/>
        </w:numPr>
        <w:jc w:val="both"/>
        <w:rPr>
          <w:rFonts w:ascii="Arial" w:hAnsi="Arial"/>
        </w:rPr>
      </w:pPr>
      <w:r w:rsidRPr="00D340E0">
        <w:rPr>
          <w:rFonts w:ascii="Arial" w:hAnsi="Arial"/>
        </w:rPr>
        <w:t>ausgefüllte Formulare des Dezernats 2,</w:t>
      </w:r>
    </w:p>
    <w:p w:rsidR="009A7392" w:rsidRPr="00D340E0" w:rsidRDefault="001604BD" w:rsidP="00A62636">
      <w:pPr>
        <w:pStyle w:val="Listenabsatz"/>
        <w:numPr>
          <w:ilvl w:val="0"/>
          <w:numId w:val="1"/>
        </w:numPr>
        <w:jc w:val="both"/>
        <w:rPr>
          <w:rFonts w:ascii="Arial" w:hAnsi="Arial"/>
        </w:rPr>
      </w:pPr>
      <w:r w:rsidRPr="00D340E0">
        <w:rPr>
          <w:rFonts w:ascii="Arial" w:hAnsi="Arial"/>
        </w:rPr>
        <w:t>aktuelle I-Bescheinigung,</w:t>
      </w:r>
    </w:p>
    <w:p w:rsidR="009A7392" w:rsidRPr="00D340E0" w:rsidRDefault="001604BD" w:rsidP="00A62636">
      <w:pPr>
        <w:pStyle w:val="Listenabsatz"/>
        <w:numPr>
          <w:ilvl w:val="0"/>
          <w:numId w:val="1"/>
        </w:numPr>
        <w:jc w:val="both"/>
        <w:rPr>
          <w:rFonts w:ascii="Arial" w:hAnsi="Arial"/>
        </w:rPr>
      </w:pPr>
      <w:r w:rsidRPr="00D340E0">
        <w:rPr>
          <w:rFonts w:ascii="Arial" w:hAnsi="Arial"/>
        </w:rPr>
        <w:t>Kopie des Sozialversicherungsausweises in zweifacher Ausführung,</w:t>
      </w:r>
    </w:p>
    <w:p w:rsidR="009A7392" w:rsidRPr="00D340E0" w:rsidRDefault="001604BD" w:rsidP="00A62636">
      <w:pPr>
        <w:pStyle w:val="Listenabsatz"/>
        <w:numPr>
          <w:ilvl w:val="0"/>
          <w:numId w:val="1"/>
        </w:numPr>
        <w:jc w:val="both"/>
        <w:rPr>
          <w:rFonts w:ascii="Arial" w:hAnsi="Arial"/>
        </w:rPr>
      </w:pPr>
      <w:r w:rsidRPr="00D340E0">
        <w:rPr>
          <w:rFonts w:ascii="Arial" w:hAnsi="Arial"/>
        </w:rPr>
        <w:t>Mitgliedsbescheinigung der Krankenkasse.</w:t>
      </w:r>
    </w:p>
    <w:p w:rsidR="009A7392" w:rsidRDefault="009A7392" w:rsidP="00A62636">
      <w:pPr>
        <w:jc w:val="both"/>
        <w:rPr>
          <w:rFonts w:ascii="Arial" w:hAnsi="Arial"/>
        </w:rPr>
      </w:pPr>
    </w:p>
    <w:p w:rsidR="009A7392" w:rsidRDefault="001604BD" w:rsidP="00A62636">
      <w:pPr>
        <w:jc w:val="both"/>
        <w:rPr>
          <w:rFonts w:ascii="Arial" w:hAnsi="Arial"/>
        </w:rPr>
      </w:pPr>
      <w:r>
        <w:rPr>
          <w:rFonts w:ascii="Arial" w:hAnsi="Arial"/>
        </w:rPr>
        <w:t>Bei erneuter Beschäftigung:</w:t>
      </w:r>
    </w:p>
    <w:p w:rsidR="009A7392" w:rsidRDefault="009A7392" w:rsidP="00A62636">
      <w:pPr>
        <w:jc w:val="both"/>
        <w:rPr>
          <w:rFonts w:ascii="Arial" w:hAnsi="Arial"/>
        </w:rPr>
      </w:pPr>
    </w:p>
    <w:p w:rsidR="009A7392" w:rsidRPr="00D340E0" w:rsidRDefault="001604BD" w:rsidP="00A62636">
      <w:pPr>
        <w:pStyle w:val="Listenabsatz"/>
        <w:numPr>
          <w:ilvl w:val="0"/>
          <w:numId w:val="2"/>
        </w:numPr>
        <w:jc w:val="both"/>
        <w:rPr>
          <w:rFonts w:ascii="Arial" w:hAnsi="Arial"/>
        </w:rPr>
      </w:pPr>
      <w:r w:rsidRPr="00D340E0">
        <w:rPr>
          <w:rFonts w:ascii="Arial" w:hAnsi="Arial"/>
        </w:rPr>
        <w:t>ausgefüllte Formulare des Dezernats 2,</w:t>
      </w:r>
    </w:p>
    <w:p w:rsidR="009A7392" w:rsidRPr="00D340E0" w:rsidRDefault="001604BD" w:rsidP="00A62636">
      <w:pPr>
        <w:pStyle w:val="Listenabsatz"/>
        <w:numPr>
          <w:ilvl w:val="0"/>
          <w:numId w:val="2"/>
        </w:numPr>
        <w:jc w:val="both"/>
        <w:rPr>
          <w:rFonts w:ascii="Arial" w:hAnsi="Arial"/>
        </w:rPr>
      </w:pPr>
      <w:r w:rsidRPr="00D340E0">
        <w:rPr>
          <w:rFonts w:ascii="Arial" w:hAnsi="Arial"/>
        </w:rPr>
        <w:t>aktuelle I-Bescheinigung.</w:t>
      </w:r>
    </w:p>
    <w:p w:rsidR="009A7392" w:rsidRDefault="009A7392" w:rsidP="00A62636">
      <w:pPr>
        <w:jc w:val="both"/>
        <w:rPr>
          <w:rFonts w:ascii="Arial" w:hAnsi="Arial"/>
        </w:rPr>
      </w:pPr>
    </w:p>
    <w:p w:rsidR="00A62636" w:rsidRDefault="00A62636" w:rsidP="00A62636">
      <w:pPr>
        <w:jc w:val="both"/>
        <w:rPr>
          <w:rFonts w:ascii="Arial" w:hAnsi="Arial"/>
          <w:b/>
          <w:bCs/>
        </w:rPr>
      </w:pPr>
    </w:p>
    <w:p w:rsidR="009A7392" w:rsidRDefault="001604BD" w:rsidP="00A62636">
      <w:pPr>
        <w:jc w:val="both"/>
        <w:rPr>
          <w:rFonts w:ascii="Arial" w:hAnsi="Arial"/>
          <w:b/>
          <w:bCs/>
        </w:rPr>
      </w:pPr>
      <w:r>
        <w:rPr>
          <w:rFonts w:ascii="Arial" w:hAnsi="Arial"/>
          <w:b/>
          <w:bCs/>
        </w:rPr>
        <w:t>Finanzierung:</w:t>
      </w:r>
    </w:p>
    <w:p w:rsidR="009A7392" w:rsidRDefault="009A7392" w:rsidP="00A62636">
      <w:pPr>
        <w:jc w:val="both"/>
        <w:rPr>
          <w:rFonts w:ascii="Arial" w:hAnsi="Arial"/>
        </w:rPr>
      </w:pPr>
    </w:p>
    <w:p w:rsidR="009A7392" w:rsidRDefault="001604BD" w:rsidP="00A62636">
      <w:pPr>
        <w:jc w:val="both"/>
        <w:rPr>
          <w:rFonts w:hint="eastAsia"/>
        </w:rPr>
      </w:pPr>
      <w:r>
        <w:rPr>
          <w:rFonts w:ascii="Arial" w:hAnsi="Arial"/>
        </w:rPr>
        <w:t xml:space="preserve">Tutorinnen und Tutoren werden aus einem Sonderfonds der Hochschule (Konto </w:t>
      </w:r>
    </w:p>
    <w:p w:rsidR="009A7392" w:rsidRPr="00D340E0" w:rsidRDefault="001604BD" w:rsidP="00A62636">
      <w:pPr>
        <w:jc w:val="both"/>
        <w:rPr>
          <w:rFonts w:hint="eastAsia"/>
        </w:rPr>
      </w:pPr>
      <w:r>
        <w:rPr>
          <w:rFonts w:ascii="Arial" w:hAnsi="Arial"/>
        </w:rPr>
        <w:t>54 104</w:t>
      </w:r>
      <w:r w:rsidR="00D340E0">
        <w:rPr>
          <w:rFonts w:ascii="Arial" w:hAnsi="Arial"/>
        </w:rPr>
        <w:t xml:space="preserve"> </w:t>
      </w:r>
      <w:r>
        <w:rPr>
          <w:rFonts w:ascii="Arial" w:hAnsi="Arial"/>
        </w:rPr>
        <w:t xml:space="preserve">011) finanziert. Laut Auskunft von Dezernat 2 (Frau Kahlert) reichen hierzu die Verträge mit vollständigen Unterlagen aus. Es gibt keine Berichtspflicht. 14 Tage vor Aufnahme einer Tutorentätigkeit müssen zur zeitgerechten Abwicklung des Einsatzes die Verträge im Dezernat 2 (Frau Kahlert) vorliegen. Tutorinnen und Tutoren nehmen </w:t>
      </w:r>
      <w:r w:rsidR="00840FC6" w:rsidRPr="00840FC6">
        <w:rPr>
          <w:rFonts w:ascii="Arial" w:hAnsi="Arial"/>
          <w:u w:val="single"/>
        </w:rPr>
        <w:t>keine Tätigkeit</w:t>
      </w:r>
      <w:r w:rsidRPr="00840FC6">
        <w:rPr>
          <w:rFonts w:ascii="Arial" w:hAnsi="Arial"/>
          <w:u w:val="single"/>
        </w:rPr>
        <w:t xml:space="preserve"> ohne Vertrag</w:t>
      </w:r>
      <w:r>
        <w:rPr>
          <w:rFonts w:ascii="Arial" w:hAnsi="Arial"/>
        </w:rPr>
        <w:t xml:space="preserve"> auf (Versicherungsschutz).</w:t>
      </w:r>
    </w:p>
    <w:p w:rsidR="009A7392" w:rsidRDefault="009A7392" w:rsidP="00A62636">
      <w:pPr>
        <w:jc w:val="both"/>
        <w:rPr>
          <w:rFonts w:ascii="Arial" w:hAnsi="Arial"/>
          <w:b/>
          <w:bCs/>
        </w:rPr>
      </w:pPr>
    </w:p>
    <w:p w:rsidR="00D71E87" w:rsidRDefault="00D71E87" w:rsidP="00A62636">
      <w:pPr>
        <w:jc w:val="both"/>
        <w:rPr>
          <w:rFonts w:ascii="Arial" w:hAnsi="Arial"/>
          <w:b/>
          <w:bCs/>
        </w:rPr>
      </w:pPr>
    </w:p>
    <w:p w:rsidR="00D71E87" w:rsidRDefault="00D71E87" w:rsidP="00A62636">
      <w:pPr>
        <w:jc w:val="both"/>
        <w:rPr>
          <w:rFonts w:ascii="Arial" w:hAnsi="Arial"/>
          <w:b/>
          <w:bCs/>
        </w:rPr>
      </w:pPr>
    </w:p>
    <w:p w:rsidR="00D71E87" w:rsidRDefault="00D71E87" w:rsidP="00A62636">
      <w:pPr>
        <w:jc w:val="both"/>
        <w:rPr>
          <w:rFonts w:ascii="Arial" w:hAnsi="Arial"/>
          <w:b/>
          <w:bCs/>
        </w:rPr>
      </w:pPr>
    </w:p>
    <w:p w:rsidR="009A7392" w:rsidRDefault="001604BD" w:rsidP="00A62636">
      <w:pPr>
        <w:jc w:val="both"/>
        <w:rPr>
          <w:rFonts w:ascii="Arial" w:hAnsi="Arial"/>
          <w:b/>
          <w:bCs/>
        </w:rPr>
      </w:pPr>
      <w:r>
        <w:rPr>
          <w:rFonts w:ascii="Arial" w:hAnsi="Arial"/>
          <w:b/>
          <w:bCs/>
        </w:rPr>
        <w:t>Schulung:</w:t>
      </w:r>
    </w:p>
    <w:p w:rsidR="009A7392" w:rsidRDefault="009A7392" w:rsidP="00A62636">
      <w:pPr>
        <w:jc w:val="both"/>
        <w:rPr>
          <w:rFonts w:ascii="Arial" w:hAnsi="Arial"/>
        </w:rPr>
      </w:pPr>
    </w:p>
    <w:p w:rsidR="009A7392" w:rsidRDefault="001604BD" w:rsidP="00A62636">
      <w:pPr>
        <w:jc w:val="both"/>
        <w:rPr>
          <w:rFonts w:hint="eastAsia"/>
        </w:rPr>
      </w:pPr>
      <w:r>
        <w:rPr>
          <w:rFonts w:ascii="Arial" w:hAnsi="Arial"/>
        </w:rPr>
        <w:t>Alle</w:t>
      </w:r>
      <w:r w:rsidR="00840FC6">
        <w:rPr>
          <w:rFonts w:ascii="Arial" w:hAnsi="Arial"/>
        </w:rPr>
        <w:t xml:space="preserve"> Schulungsteilnehmerinnen und -</w:t>
      </w:r>
      <w:r>
        <w:rPr>
          <w:rFonts w:ascii="Arial" w:hAnsi="Arial"/>
        </w:rPr>
        <w:t xml:space="preserve">teilnehmer erhalten ein Zertifikat. Diejenigen, die anschließend ein Tutorium übernehmen, können dies gegen ein erweitertes Zertifikat </w:t>
      </w:r>
    </w:p>
    <w:p w:rsidR="009A7392" w:rsidRDefault="001604BD" w:rsidP="00A62636">
      <w:pPr>
        <w:jc w:val="both"/>
        <w:rPr>
          <w:rFonts w:ascii="Arial" w:hAnsi="Arial"/>
        </w:rPr>
      </w:pPr>
      <w:r>
        <w:rPr>
          <w:rFonts w:ascii="Arial" w:hAnsi="Arial"/>
        </w:rPr>
        <w:t>eintauschen, wenn sie</w:t>
      </w:r>
    </w:p>
    <w:p w:rsidR="009A7392" w:rsidRDefault="009A7392" w:rsidP="00A62636">
      <w:pPr>
        <w:jc w:val="both"/>
        <w:rPr>
          <w:rFonts w:ascii="Arial" w:hAnsi="Arial"/>
        </w:rPr>
      </w:pPr>
    </w:p>
    <w:p w:rsidR="009A7392" w:rsidRPr="00D340E0" w:rsidRDefault="001604BD" w:rsidP="00A62636">
      <w:pPr>
        <w:pStyle w:val="Listenabsatz"/>
        <w:numPr>
          <w:ilvl w:val="0"/>
          <w:numId w:val="3"/>
        </w:numPr>
        <w:jc w:val="both"/>
        <w:rPr>
          <w:rFonts w:ascii="Arial" w:hAnsi="Arial"/>
        </w:rPr>
      </w:pPr>
      <w:r w:rsidRPr="00D340E0">
        <w:rPr>
          <w:rFonts w:ascii="Arial" w:hAnsi="Arial"/>
        </w:rPr>
        <w:t>in einem Tutorium hospitiert wurden und Feedback erhalten haben,</w:t>
      </w:r>
    </w:p>
    <w:p w:rsidR="009A7392" w:rsidRPr="00D340E0" w:rsidRDefault="001604BD" w:rsidP="00A62636">
      <w:pPr>
        <w:pStyle w:val="Listenabsatz"/>
        <w:numPr>
          <w:ilvl w:val="0"/>
          <w:numId w:val="3"/>
        </w:numPr>
        <w:jc w:val="both"/>
        <w:rPr>
          <w:rFonts w:ascii="Arial" w:hAnsi="Arial"/>
        </w:rPr>
      </w:pPr>
      <w:r w:rsidRPr="00D340E0">
        <w:rPr>
          <w:rFonts w:ascii="Arial" w:hAnsi="Arial"/>
        </w:rPr>
        <w:t>eine Lehr-Lern-Analyse (LLA) durchgeführt haben,</w:t>
      </w:r>
    </w:p>
    <w:p w:rsidR="009A7392" w:rsidRPr="00D340E0" w:rsidRDefault="001604BD" w:rsidP="00A62636">
      <w:pPr>
        <w:pStyle w:val="Listenabsatz"/>
        <w:numPr>
          <w:ilvl w:val="0"/>
          <w:numId w:val="3"/>
        </w:numPr>
        <w:jc w:val="both"/>
        <w:rPr>
          <w:rFonts w:ascii="Arial" w:hAnsi="Arial"/>
        </w:rPr>
      </w:pPr>
      <w:r w:rsidRPr="00D340E0">
        <w:rPr>
          <w:rFonts w:ascii="Arial" w:hAnsi="Arial"/>
        </w:rPr>
        <w:t>einen Abschlussbericht verfasst und in einem Abschlussgespräch abgegeben haben.</w:t>
      </w:r>
    </w:p>
    <w:p w:rsidR="009A7392" w:rsidRDefault="009A7392" w:rsidP="00A62636">
      <w:pPr>
        <w:jc w:val="both"/>
        <w:rPr>
          <w:rFonts w:ascii="Arial" w:hAnsi="Arial"/>
        </w:rPr>
      </w:pPr>
    </w:p>
    <w:p w:rsidR="009A7392" w:rsidRDefault="001604BD" w:rsidP="00A62636">
      <w:pPr>
        <w:jc w:val="both"/>
        <w:rPr>
          <w:rFonts w:ascii="Arial" w:hAnsi="Arial"/>
        </w:rPr>
      </w:pPr>
      <w:r>
        <w:rPr>
          <w:rFonts w:ascii="Arial" w:hAnsi="Arial"/>
        </w:rPr>
        <w:t>Die Teilnahme an der Tutorenschulung wird den Studierenden unter der Voraussetzung vergütet, dass sie als studentische Hilfskraft zur Durchführung von Tutorien unter Vertrag stehen. Die Vertragslaufzeit muss zwingend den Zeitraum der Tutorenschulung beinhalten. Daher wird die 2-tägige Schulung (10 Stunden) unmittelbar vor Semesterbeginn durchgeführt.</w:t>
      </w:r>
    </w:p>
    <w:p w:rsidR="009A7392" w:rsidRDefault="009A7392" w:rsidP="00A62636">
      <w:pPr>
        <w:jc w:val="both"/>
        <w:rPr>
          <w:rFonts w:ascii="Arial" w:hAnsi="Arial"/>
        </w:rPr>
      </w:pPr>
    </w:p>
    <w:p w:rsidR="009A7392" w:rsidRDefault="001604BD" w:rsidP="00A62636">
      <w:pPr>
        <w:jc w:val="both"/>
        <w:rPr>
          <w:rFonts w:ascii="Arial" w:hAnsi="Arial"/>
        </w:rPr>
      </w:pPr>
      <w:r>
        <w:rPr>
          <w:rFonts w:ascii="Arial" w:hAnsi="Arial"/>
        </w:rPr>
        <w:t xml:space="preserve">Studierende können freiwillig an Tutorenschulungen teilnehmen, ohne für Tutorien vorgesehen zu sein, sofern freie Plätze verfügbar sind. Sie qualifizieren sich damit für die spätere Übernahme von Tutorien und erwerben persönliche Kompetenzen. Eine Vergütung </w:t>
      </w:r>
      <w:r w:rsidR="00D340E0">
        <w:rPr>
          <w:rFonts w:ascii="Arial" w:hAnsi="Arial"/>
        </w:rPr>
        <w:t>erfolgt</w:t>
      </w:r>
      <w:r>
        <w:rPr>
          <w:rFonts w:ascii="Arial" w:hAnsi="Arial"/>
        </w:rPr>
        <w:t xml:space="preserve"> in diesen Fällen nicht.</w:t>
      </w:r>
    </w:p>
    <w:p w:rsidR="009A7392" w:rsidRDefault="009A7392" w:rsidP="00A62636">
      <w:pPr>
        <w:jc w:val="both"/>
        <w:rPr>
          <w:rFonts w:ascii="Arial" w:hAnsi="Arial"/>
        </w:rPr>
      </w:pPr>
    </w:p>
    <w:p w:rsidR="009A7392" w:rsidRDefault="001604BD" w:rsidP="00A62636">
      <w:pPr>
        <w:jc w:val="both"/>
        <w:rPr>
          <w:rFonts w:hint="eastAsia"/>
        </w:rPr>
      </w:pPr>
      <w:r>
        <w:rPr>
          <w:rFonts w:ascii="Arial" w:hAnsi="Arial"/>
        </w:rPr>
        <w:t>Für Masterstudierende mit Qualifikationsstellen sind Tutorentätigkeiten einschließlich Qualifizierung durch Schulung ein obligatorischer Teil ihrer Aufgabenbeschreibung.</w:t>
      </w:r>
    </w:p>
    <w:p w:rsidR="009A7392" w:rsidRDefault="009A7392" w:rsidP="00A62636">
      <w:pPr>
        <w:jc w:val="both"/>
        <w:rPr>
          <w:rFonts w:ascii="Arial" w:hAnsi="Arial"/>
        </w:rPr>
      </w:pPr>
    </w:p>
    <w:p w:rsidR="009A7392" w:rsidRDefault="001604BD" w:rsidP="00A62636">
      <w:pPr>
        <w:jc w:val="both"/>
        <w:rPr>
          <w:rFonts w:hint="eastAsia"/>
        </w:rPr>
      </w:pPr>
      <w:r>
        <w:rPr>
          <w:rFonts w:ascii="Arial" w:hAnsi="Arial"/>
        </w:rPr>
        <w:t>Frau Dr. Stank führt eine Liste der geschulten Tutorinnen und Tutoren und stellt sie für alle Dozentinnen und Dozenten bereit.</w:t>
      </w:r>
    </w:p>
    <w:p w:rsidR="009A7392" w:rsidRDefault="009A7392" w:rsidP="00A62636">
      <w:pPr>
        <w:jc w:val="both"/>
        <w:rPr>
          <w:rFonts w:ascii="Arial" w:hAnsi="Arial"/>
        </w:rPr>
      </w:pPr>
    </w:p>
    <w:p w:rsidR="009A7392" w:rsidRDefault="009A7392" w:rsidP="00A62636">
      <w:pPr>
        <w:jc w:val="both"/>
        <w:rPr>
          <w:rFonts w:ascii="Arial" w:hAnsi="Arial"/>
          <w:b/>
          <w:bCs/>
        </w:rPr>
      </w:pPr>
    </w:p>
    <w:p w:rsidR="009A7392" w:rsidRDefault="001604BD" w:rsidP="00A62636">
      <w:pPr>
        <w:jc w:val="both"/>
        <w:rPr>
          <w:rFonts w:ascii="Arial" w:hAnsi="Arial"/>
          <w:b/>
          <w:bCs/>
        </w:rPr>
      </w:pPr>
      <w:r>
        <w:rPr>
          <w:rFonts w:ascii="Arial" w:hAnsi="Arial"/>
          <w:b/>
          <w:bCs/>
        </w:rPr>
        <w:t>Termine für Tutorien:</w:t>
      </w:r>
    </w:p>
    <w:p w:rsidR="009A7392" w:rsidRDefault="009A7392" w:rsidP="00A62636">
      <w:pPr>
        <w:jc w:val="both"/>
        <w:rPr>
          <w:rFonts w:ascii="Arial" w:hAnsi="Arial"/>
        </w:rPr>
      </w:pPr>
    </w:p>
    <w:p w:rsidR="009A7392" w:rsidRDefault="001604BD" w:rsidP="00A62636">
      <w:pPr>
        <w:jc w:val="both"/>
        <w:rPr>
          <w:rFonts w:hint="eastAsia"/>
        </w:rPr>
      </w:pPr>
      <w:r>
        <w:rPr>
          <w:rFonts w:ascii="Arial" w:hAnsi="Arial"/>
        </w:rPr>
        <w:t>Die Termine für Tutorien werden vo</w:t>
      </w:r>
      <w:r w:rsidR="00A62636">
        <w:rPr>
          <w:rFonts w:ascii="Arial" w:hAnsi="Arial"/>
        </w:rPr>
        <w:t>n den</w:t>
      </w:r>
      <w:r>
        <w:rPr>
          <w:rFonts w:ascii="Arial" w:hAnsi="Arial"/>
        </w:rPr>
        <w:t xml:space="preserve"> </w:t>
      </w:r>
      <w:r w:rsidR="00D71E87">
        <w:rPr>
          <w:rFonts w:ascii="Arial" w:hAnsi="Arial"/>
        </w:rPr>
        <w:t>Modulverantwortlichen</w:t>
      </w:r>
      <w:r>
        <w:rPr>
          <w:rFonts w:ascii="Arial" w:hAnsi="Arial"/>
        </w:rPr>
        <w:t xml:space="preserve"> </w:t>
      </w:r>
      <w:r w:rsidR="00D71E87">
        <w:rPr>
          <w:rFonts w:ascii="Arial" w:hAnsi="Arial"/>
        </w:rPr>
        <w:t>gemeinsam mit</w:t>
      </w:r>
      <w:r>
        <w:rPr>
          <w:rFonts w:ascii="Arial" w:hAnsi="Arial"/>
        </w:rPr>
        <w:t xml:space="preserve"> Tutorin bzw. Tutor festgelegt und Frau Dr. Stank mitgeteilt. Diese erstellt eine Gesamtübersicht zwecks Veröffentlichung </w:t>
      </w:r>
      <w:r w:rsidR="00A62636">
        <w:rPr>
          <w:rFonts w:ascii="Arial" w:hAnsi="Arial"/>
        </w:rPr>
        <w:t xml:space="preserve">der </w:t>
      </w:r>
      <w:proofErr w:type="spellStart"/>
      <w:r w:rsidR="00A62636">
        <w:rPr>
          <w:rFonts w:ascii="Arial" w:hAnsi="Arial"/>
        </w:rPr>
        <w:t>Tutorienangebote</w:t>
      </w:r>
      <w:proofErr w:type="spellEnd"/>
      <w:r w:rsidR="00A62636">
        <w:rPr>
          <w:rFonts w:ascii="Arial" w:hAnsi="Arial"/>
        </w:rPr>
        <w:t xml:space="preserve"> </w:t>
      </w:r>
      <w:r>
        <w:rPr>
          <w:rFonts w:ascii="Arial" w:hAnsi="Arial"/>
        </w:rPr>
        <w:t>auf der Homepage der Fakultät.</w:t>
      </w:r>
    </w:p>
    <w:p w:rsidR="009A7392" w:rsidRDefault="009A7392" w:rsidP="00A62636">
      <w:pPr>
        <w:jc w:val="both"/>
        <w:rPr>
          <w:rFonts w:ascii="Arial" w:hAnsi="Arial"/>
        </w:rPr>
      </w:pPr>
    </w:p>
    <w:p w:rsidR="009A7392" w:rsidRDefault="001604BD" w:rsidP="00A62636">
      <w:pPr>
        <w:jc w:val="both"/>
        <w:rPr>
          <w:rFonts w:hint="eastAsia"/>
        </w:rPr>
      </w:pPr>
      <w:r>
        <w:rPr>
          <w:rFonts w:ascii="Arial" w:hAnsi="Arial"/>
        </w:rPr>
        <w:t>Die Buchung der Räume erfolgt durch die Tutorinnen und Tutoren über das Dekanatssekretariat.</w:t>
      </w:r>
    </w:p>
    <w:p w:rsidR="009A7392" w:rsidRDefault="009A7392" w:rsidP="00A62636">
      <w:pPr>
        <w:jc w:val="both"/>
        <w:rPr>
          <w:rFonts w:ascii="Arial" w:hAnsi="Arial"/>
        </w:rPr>
      </w:pPr>
    </w:p>
    <w:p w:rsidR="009A7392" w:rsidRDefault="001604BD" w:rsidP="00A62636">
      <w:pPr>
        <w:jc w:val="both"/>
        <w:rPr>
          <w:rFonts w:ascii="Arial" w:hAnsi="Arial"/>
        </w:rPr>
      </w:pPr>
      <w:r>
        <w:rPr>
          <w:rFonts w:ascii="Arial" w:hAnsi="Arial"/>
        </w:rPr>
        <w:t xml:space="preserve">Der Gremientermin (Mittwoch 3. Block) darf nicht durch Tutorien belegt werden. Tutorien </w:t>
      </w:r>
      <w:r w:rsidR="00A62636">
        <w:rPr>
          <w:rFonts w:ascii="Arial" w:hAnsi="Arial"/>
        </w:rPr>
        <w:t>können</w:t>
      </w:r>
      <w:r>
        <w:rPr>
          <w:rFonts w:ascii="Arial" w:hAnsi="Arial"/>
        </w:rPr>
        <w:t xml:space="preserve"> auch am Samstag durchgeführt werden, Tutorien am Sonntag sind nicht zulässig.</w:t>
      </w:r>
    </w:p>
    <w:p w:rsidR="009A7392" w:rsidRDefault="009A7392" w:rsidP="00A62636">
      <w:pPr>
        <w:jc w:val="both"/>
        <w:rPr>
          <w:rFonts w:ascii="Arial" w:hAnsi="Arial"/>
        </w:rPr>
      </w:pPr>
    </w:p>
    <w:p w:rsidR="009A7392" w:rsidRDefault="009A7392" w:rsidP="00A62636">
      <w:pPr>
        <w:jc w:val="both"/>
        <w:rPr>
          <w:rFonts w:ascii="Arial" w:hAnsi="Arial"/>
          <w:b/>
          <w:bCs/>
        </w:rPr>
      </w:pPr>
    </w:p>
    <w:p w:rsidR="009A7392" w:rsidRDefault="001604BD" w:rsidP="00A62636">
      <w:pPr>
        <w:jc w:val="both"/>
        <w:rPr>
          <w:rFonts w:ascii="Arial" w:hAnsi="Arial"/>
          <w:b/>
          <w:bCs/>
        </w:rPr>
      </w:pPr>
      <w:r>
        <w:rPr>
          <w:rFonts w:ascii="Arial" w:hAnsi="Arial"/>
          <w:b/>
          <w:bCs/>
        </w:rPr>
        <w:t>Verträge:</w:t>
      </w:r>
    </w:p>
    <w:p w:rsidR="009A7392" w:rsidRDefault="009A7392" w:rsidP="00A62636">
      <w:pPr>
        <w:jc w:val="both"/>
        <w:rPr>
          <w:rFonts w:ascii="Arial" w:hAnsi="Arial"/>
        </w:rPr>
      </w:pPr>
    </w:p>
    <w:p w:rsidR="009A7392" w:rsidRDefault="001604BD" w:rsidP="00A62636">
      <w:pPr>
        <w:jc w:val="both"/>
        <w:rPr>
          <w:rFonts w:hint="eastAsia"/>
        </w:rPr>
      </w:pPr>
      <w:r>
        <w:rPr>
          <w:rFonts w:ascii="Arial" w:hAnsi="Arial"/>
        </w:rPr>
        <w:t>Um die Verträge einheitlich</w:t>
      </w:r>
      <w:r w:rsidR="00A62636">
        <w:rPr>
          <w:rFonts w:ascii="Arial" w:hAnsi="Arial"/>
        </w:rPr>
        <w:t xml:space="preserve"> zu gestalten, werden zunächst </w:t>
      </w:r>
      <w:r>
        <w:rPr>
          <w:rFonts w:ascii="Arial" w:hAnsi="Arial"/>
        </w:rPr>
        <w:t xml:space="preserve">generell 10 </w:t>
      </w:r>
      <w:proofErr w:type="spellStart"/>
      <w:r>
        <w:rPr>
          <w:rFonts w:ascii="Arial" w:hAnsi="Arial"/>
        </w:rPr>
        <w:t>Tutoriumstermine</w:t>
      </w:r>
      <w:proofErr w:type="spellEnd"/>
      <w:r>
        <w:rPr>
          <w:rFonts w:ascii="Arial" w:hAnsi="Arial"/>
        </w:rPr>
        <w:t xml:space="preserve"> mit jeweils 3 h veranschlagt (1,5 h Veranstaltung, 1,5 h Vor- und Nachbereitungszeit). Die Gesamtstundenzahl beträgt damit 30 h, bei Ersteinstellung 40 h, da 10 Schulungsstunden angerechnet werden. Verträge mit weniger als 10 Terminen sind möglich.</w:t>
      </w: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1604BD" w:rsidP="00A62636">
      <w:pPr>
        <w:jc w:val="both"/>
        <w:rPr>
          <w:rFonts w:ascii="Arial" w:hAnsi="Arial"/>
          <w:sz w:val="16"/>
          <w:szCs w:val="18"/>
        </w:rPr>
      </w:pPr>
      <w:r>
        <w:rPr>
          <w:rFonts w:ascii="Arial" w:hAnsi="Arial"/>
          <w:sz w:val="18"/>
          <w:szCs w:val="18"/>
        </w:rPr>
        <w:t>Seite 2</w:t>
      </w: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1604BD" w:rsidP="00A62636">
      <w:pPr>
        <w:jc w:val="both"/>
        <w:rPr>
          <w:rFonts w:hint="eastAsia"/>
        </w:rPr>
      </w:pPr>
      <w:r>
        <w:rPr>
          <w:rFonts w:ascii="Arial" w:hAnsi="Arial"/>
        </w:rPr>
        <w:t xml:space="preserve">Die Tutorinnen und Tutoren tragen die Teilnehmerzahlen jeder Veranstaltung in die Liste „Für den Tutor/die Tutorin zur Ermittlung der Teilnehmerzahlen eines Tutoriums“ ein. Sollten mehr als 10 </w:t>
      </w:r>
      <w:proofErr w:type="spellStart"/>
      <w:r>
        <w:rPr>
          <w:rFonts w:ascii="Arial" w:hAnsi="Arial"/>
        </w:rPr>
        <w:t>Tutoriumstermine</w:t>
      </w:r>
      <w:proofErr w:type="spellEnd"/>
      <w:r>
        <w:rPr>
          <w:rFonts w:ascii="Arial" w:hAnsi="Arial"/>
        </w:rPr>
        <w:t xml:space="preserve"> (max. 15) angeboten werden, tragen die Tutorinnen und Tutoren diese </w:t>
      </w:r>
      <w:r w:rsidR="00A62636">
        <w:rPr>
          <w:rFonts w:ascii="Arial" w:hAnsi="Arial"/>
        </w:rPr>
        <w:t xml:space="preserve">zusätzlich </w:t>
      </w:r>
      <w:r>
        <w:rPr>
          <w:rFonts w:ascii="Arial" w:hAnsi="Arial"/>
        </w:rPr>
        <w:t xml:space="preserve">ein, damit sie bei der abschließenden Abrechnung </w:t>
      </w:r>
      <w:bookmarkStart w:id="0" w:name="_GoBack"/>
      <w:bookmarkEnd w:id="0"/>
      <w:r w:rsidR="00967F13">
        <w:rPr>
          <w:rFonts w:ascii="Arial" w:hAnsi="Arial"/>
        </w:rPr>
        <w:t>mitberücksichtigt</w:t>
      </w:r>
      <w:r>
        <w:rPr>
          <w:rFonts w:ascii="Arial" w:hAnsi="Arial"/>
        </w:rPr>
        <w:t xml:space="preserve"> werden können. Die ausgefüllte Liste </w:t>
      </w:r>
      <w:r w:rsidR="00A62636">
        <w:rPr>
          <w:rFonts w:ascii="Arial" w:hAnsi="Arial"/>
        </w:rPr>
        <w:t xml:space="preserve">wird zum Ende des Zeitraums der </w:t>
      </w:r>
      <w:proofErr w:type="spellStart"/>
      <w:r w:rsidR="00A62636">
        <w:rPr>
          <w:rFonts w:ascii="Arial" w:hAnsi="Arial"/>
        </w:rPr>
        <w:t>Tutorienveranstaltung</w:t>
      </w:r>
      <w:proofErr w:type="spellEnd"/>
      <w:r w:rsidR="00A62636">
        <w:rPr>
          <w:rFonts w:ascii="Arial" w:hAnsi="Arial"/>
        </w:rPr>
        <w:t xml:space="preserve"> </w:t>
      </w:r>
      <w:r>
        <w:rPr>
          <w:rFonts w:ascii="Arial" w:hAnsi="Arial"/>
        </w:rPr>
        <w:t>vom jeweiligen Dozenten/Dozentin gegengezeichnet und an Frau Dr. Stank weitergeleitet. Sollte die Gesamtstundenzahl über 30 h (bzw. 40 h b</w:t>
      </w:r>
      <w:r w:rsidR="00A62636">
        <w:rPr>
          <w:rFonts w:ascii="Arial" w:hAnsi="Arial"/>
        </w:rPr>
        <w:t xml:space="preserve">ei Ersteinstellung) </w:t>
      </w:r>
      <w:r>
        <w:rPr>
          <w:rFonts w:ascii="Arial" w:hAnsi="Arial"/>
        </w:rPr>
        <w:t>hinausgehen, teilt Frau Dr. Stank diese dem Dezernat 2 (Frau Kahlert) zur Endabrechnung mit.</w:t>
      </w:r>
    </w:p>
    <w:p w:rsidR="009A7392" w:rsidRDefault="009A7392" w:rsidP="00A62636">
      <w:pPr>
        <w:jc w:val="both"/>
        <w:rPr>
          <w:rFonts w:ascii="Arial" w:hAnsi="Arial"/>
        </w:rPr>
      </w:pPr>
    </w:p>
    <w:p w:rsidR="00A62636" w:rsidRDefault="00A62636" w:rsidP="00A62636">
      <w:pPr>
        <w:jc w:val="both"/>
        <w:rPr>
          <w:rFonts w:ascii="Arial" w:hAnsi="Arial"/>
          <w:b/>
          <w:bCs/>
        </w:rPr>
      </w:pPr>
    </w:p>
    <w:p w:rsidR="009A7392" w:rsidRDefault="001604BD" w:rsidP="00A62636">
      <w:pPr>
        <w:jc w:val="both"/>
        <w:rPr>
          <w:rFonts w:ascii="Arial" w:hAnsi="Arial"/>
          <w:b/>
          <w:bCs/>
        </w:rPr>
      </w:pPr>
      <w:r>
        <w:rPr>
          <w:rFonts w:ascii="Arial" w:hAnsi="Arial"/>
          <w:b/>
          <w:bCs/>
        </w:rPr>
        <w:t>Hinweis:</w:t>
      </w:r>
    </w:p>
    <w:p w:rsidR="009A7392" w:rsidRDefault="009A7392" w:rsidP="00A62636">
      <w:pPr>
        <w:jc w:val="both"/>
        <w:rPr>
          <w:rFonts w:ascii="Arial" w:hAnsi="Arial"/>
        </w:rPr>
      </w:pPr>
    </w:p>
    <w:p w:rsidR="009A7392" w:rsidRDefault="001604BD" w:rsidP="00A62636">
      <w:pPr>
        <w:jc w:val="both"/>
        <w:rPr>
          <w:rFonts w:ascii="Arial" w:hAnsi="Arial"/>
        </w:rPr>
      </w:pPr>
      <w:r>
        <w:rPr>
          <w:rFonts w:ascii="Arial" w:hAnsi="Arial"/>
        </w:rPr>
        <w:t>Bei Tutorinnen und Tutoren, die erst spät im schon laufenden Semester benannt werden, ist meist nur eine Einzelbetreuung durch Hospitation und Feedback möglich. Gruppendynamische Prozesse wie in einer Schulung können dabei nicht entstehen, realistisches Probehandeln ist nicht durchführbar. Einzelbetreuung ist daher zu vermeiden.</w:t>
      </w: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rPr>
      </w:pPr>
    </w:p>
    <w:p w:rsidR="009A7392" w:rsidRDefault="009A7392" w:rsidP="00A62636">
      <w:pPr>
        <w:jc w:val="both"/>
        <w:rPr>
          <w:rFonts w:ascii="Arial" w:hAnsi="Arial"/>
          <w:sz w:val="16"/>
          <w:szCs w:val="18"/>
        </w:rPr>
      </w:pPr>
    </w:p>
    <w:sectPr w:rsidR="009A7392" w:rsidSect="003B6095">
      <w:headerReference w:type="default" r:id="rId8"/>
      <w:footerReference w:type="default" r:id="rId9"/>
      <w:pgSz w:w="11906" w:h="16838"/>
      <w:pgMar w:top="993" w:right="1134" w:bottom="1134" w:left="1134" w:header="0" w:footer="452"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70" w:rsidRDefault="00856F70" w:rsidP="00A62636">
      <w:pPr>
        <w:rPr>
          <w:rFonts w:hint="eastAsia"/>
        </w:rPr>
      </w:pPr>
      <w:r>
        <w:separator/>
      </w:r>
    </w:p>
  </w:endnote>
  <w:endnote w:type="continuationSeparator" w:id="0">
    <w:p w:rsidR="00856F70" w:rsidRDefault="00856F70" w:rsidP="00A626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86948"/>
      <w:docPartObj>
        <w:docPartGallery w:val="Page Numbers (Bottom of Page)"/>
        <w:docPartUnique/>
      </w:docPartObj>
    </w:sdtPr>
    <w:sdtEndPr/>
    <w:sdtContent>
      <w:p w:rsidR="00A62636" w:rsidRDefault="00A62636">
        <w:pPr>
          <w:pStyle w:val="Fuzeile"/>
          <w:jc w:val="right"/>
          <w:rPr>
            <w:rFonts w:hint="eastAsia"/>
          </w:rPr>
        </w:pPr>
        <w:r>
          <w:fldChar w:fldCharType="begin"/>
        </w:r>
        <w:r>
          <w:instrText>PAGE   \* MERGEFORMAT</w:instrText>
        </w:r>
        <w:r>
          <w:fldChar w:fldCharType="separate"/>
        </w:r>
        <w:r w:rsidR="00967F13">
          <w:rPr>
            <w:rFonts w:hint="eastAsia"/>
            <w:noProof/>
          </w:rPr>
          <w:t>3</w:t>
        </w:r>
        <w:r>
          <w:fldChar w:fldCharType="end"/>
        </w:r>
      </w:p>
    </w:sdtContent>
  </w:sdt>
  <w:p w:rsidR="00A62636" w:rsidRDefault="00A62636">
    <w:pPr>
      <w:pStyle w:val="Fuzeile"/>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70" w:rsidRDefault="00856F70" w:rsidP="00A62636">
      <w:pPr>
        <w:rPr>
          <w:rFonts w:hint="eastAsia"/>
        </w:rPr>
      </w:pPr>
      <w:r>
        <w:separator/>
      </w:r>
    </w:p>
  </w:footnote>
  <w:footnote w:type="continuationSeparator" w:id="0">
    <w:p w:rsidR="00856F70" w:rsidRDefault="00856F70" w:rsidP="00A6263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36" w:rsidRDefault="00A62636" w:rsidP="00A62636">
    <w:pPr>
      <w:jc w:val="both"/>
      <w:rPr>
        <w:rFonts w:ascii="Arial" w:hAnsi="Arial"/>
        <w:bCs/>
        <w:color w:val="0070C0"/>
        <w:sz w:val="20"/>
        <w:szCs w:val="20"/>
      </w:rPr>
    </w:pPr>
  </w:p>
  <w:p w:rsidR="00A62636" w:rsidRDefault="00A62636" w:rsidP="00A62636">
    <w:pPr>
      <w:jc w:val="both"/>
      <w:rPr>
        <w:rFonts w:ascii="Arial" w:hAnsi="Arial"/>
        <w:bCs/>
        <w:color w:val="0070C0"/>
        <w:sz w:val="20"/>
        <w:szCs w:val="20"/>
      </w:rPr>
    </w:pPr>
  </w:p>
  <w:p w:rsidR="00A62636" w:rsidRDefault="00A62636" w:rsidP="00A62636">
    <w:pPr>
      <w:jc w:val="both"/>
      <w:rPr>
        <w:rFonts w:ascii="Arial" w:hAnsi="Arial"/>
        <w:bCs/>
        <w:color w:val="0070C0"/>
        <w:sz w:val="20"/>
        <w:szCs w:val="20"/>
      </w:rPr>
    </w:pPr>
  </w:p>
  <w:p w:rsidR="00A62636" w:rsidRPr="00A62636" w:rsidRDefault="00A62636" w:rsidP="003B6095">
    <w:pPr>
      <w:spacing w:after="120"/>
      <w:jc w:val="center"/>
      <w:rPr>
        <w:rFonts w:hint="eastAsia"/>
        <w:color w:val="0070C0"/>
        <w:sz w:val="20"/>
        <w:szCs w:val="20"/>
      </w:rPr>
    </w:pPr>
    <w:r w:rsidRPr="00A62636">
      <w:rPr>
        <w:rFonts w:ascii="Arial" w:hAnsi="Arial"/>
        <w:bCs/>
        <w:color w:val="0070C0"/>
        <w:sz w:val="20"/>
        <w:szCs w:val="20"/>
      </w:rPr>
      <w:t>Einsatz von Tutorinnen und Tutoren in der Versorgungstechnik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764D"/>
    <w:multiLevelType w:val="hybridMultilevel"/>
    <w:tmpl w:val="7526C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603892"/>
    <w:multiLevelType w:val="hybridMultilevel"/>
    <w:tmpl w:val="0EEE2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4F6C83"/>
    <w:multiLevelType w:val="hybridMultilevel"/>
    <w:tmpl w:val="3BB28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92"/>
    <w:rsid w:val="001604BD"/>
    <w:rsid w:val="003B6095"/>
    <w:rsid w:val="00840FC6"/>
    <w:rsid w:val="00856F70"/>
    <w:rsid w:val="00967F13"/>
    <w:rsid w:val="009A7392"/>
    <w:rsid w:val="00A62636"/>
    <w:rsid w:val="00D340E0"/>
    <w:rsid w:val="00D71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6BD36"/>
  <w15:docId w15:val="{56D1FABF-9C82-4EC7-9E92-B432305D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style>
  <w:style w:type="paragraph" w:styleId="berschrift1">
    <w:name w:val="heading 1"/>
    <w:basedOn w:val="Standard"/>
    <w:next w:val="Standard"/>
    <w:pPr>
      <w:keepNext/>
      <w:spacing w:before="240" w:after="60"/>
      <w:outlineLvl w:val="0"/>
    </w:pPr>
    <w:rPr>
      <w:b/>
      <w:bCs/>
      <w:sz w:val="32"/>
      <w:szCs w:val="32"/>
    </w:rPr>
  </w:style>
  <w:style w:type="paragraph" w:styleId="berschrift2">
    <w:name w:val="heading 2"/>
    <w:basedOn w:val="Standard"/>
    <w:next w:val="Standard"/>
    <w:pPr>
      <w:keepNext/>
      <w:spacing w:before="240" w:after="60"/>
      <w:outlineLvl w:val="1"/>
    </w:pPr>
    <w:rPr>
      <w:b/>
      <w:bCs/>
      <w:i/>
      <w:iCs/>
      <w:sz w:val="28"/>
      <w:szCs w:val="28"/>
    </w:rPr>
  </w:style>
  <w:style w:type="paragraph" w:styleId="berschrift3">
    <w:name w:val="heading 3"/>
    <w:basedOn w:val="Standard"/>
    <w:next w:val="Standard"/>
    <w:pPr>
      <w:keepNext/>
      <w:suppressAutoHyphens w:val="0"/>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Cambria" w:hAnsi="Cambria" w:cs="Times New Roman"/>
      <w:b/>
      <w:bCs/>
      <w:sz w:val="32"/>
      <w:szCs w:val="32"/>
    </w:rPr>
  </w:style>
  <w:style w:type="character" w:customStyle="1" w:styleId="berschrift2Zchn">
    <w:name w:val="Überschrift 2 Zchn"/>
    <w:basedOn w:val="Absatz-Standardschriftart"/>
    <w:rPr>
      <w:rFonts w:ascii="Cambria" w:hAnsi="Cambria" w:cs="Times New Roman"/>
      <w:b/>
      <w:bCs/>
      <w:i/>
      <w:iCs/>
      <w:sz w:val="28"/>
      <w:szCs w:val="28"/>
    </w:rPr>
  </w:style>
  <w:style w:type="character" w:customStyle="1" w:styleId="berschrift3Zchn">
    <w:name w:val="Überschrift 3 Zchn"/>
    <w:basedOn w:val="Absatz-Standardschriftart"/>
    <w:rPr>
      <w:rFonts w:ascii="Cambria" w:hAnsi="Cambria" w:cs="Times New Roman"/>
      <w:b/>
      <w:bCs/>
      <w:sz w:val="26"/>
      <w:szCs w:val="26"/>
    </w:rPr>
  </w:style>
  <w:style w:type="character" w:customStyle="1" w:styleId="KopfzeileZchn">
    <w:name w:val="Kopfzeile Zchn"/>
    <w:basedOn w:val="Absatz-Standardschriftart"/>
    <w:rPr>
      <w:rFonts w:ascii="Arial" w:eastAsia="Arial Unicode MS" w:hAnsi="Arial" w:cs="Times New Roman"/>
      <w:sz w:val="24"/>
      <w:szCs w:val="24"/>
    </w:rPr>
  </w:style>
  <w:style w:type="character" w:customStyle="1" w:styleId="FuzeileZchn">
    <w:name w:val="Fußzeile Zchn"/>
    <w:basedOn w:val="Absatz-Standardschriftart"/>
    <w:uiPriority w:val="99"/>
    <w:rPr>
      <w:rFonts w:ascii="Arial" w:eastAsia="Arial Unicode MS" w:hAnsi="Arial" w:cs="Times New Roman"/>
      <w:sz w:val="24"/>
      <w:szCs w:val="24"/>
    </w:rPr>
  </w:style>
  <w:style w:type="character" w:customStyle="1" w:styleId="TitelZchn">
    <w:name w:val="Titel Zchn"/>
    <w:basedOn w:val="Absatz-Standardschriftart"/>
    <w:rPr>
      <w:rFonts w:ascii="Arial" w:hAnsi="Arial" w:cs="Arial"/>
      <w:color w:val="003A79"/>
      <w:spacing w:val="5"/>
      <w:sz w:val="52"/>
      <w:szCs w:val="52"/>
    </w:rPr>
  </w:style>
  <w:style w:type="character" w:customStyle="1" w:styleId="SprechblasentextZchn">
    <w:name w:val="Sprechblasentext Zchn"/>
    <w:basedOn w:val="Absatz-Standardschriftart"/>
    <w:rPr>
      <w:rFonts w:ascii="Tahoma" w:eastAsia="Arial Unicode MS" w:hAnsi="Tahoma" w:cs="Tahoma"/>
      <w:sz w:val="16"/>
      <w:szCs w:val="16"/>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Arial" w:eastAsia="Arial Unicode MS" w:hAnsi="Arial"/>
      <w:sz w:val="20"/>
      <w:szCs w:val="20"/>
    </w:rPr>
  </w:style>
  <w:style w:type="character" w:customStyle="1" w:styleId="KommentarthemaZchn">
    <w:name w:val="Kommentarthema Zchn"/>
    <w:basedOn w:val="KommentartextZchn"/>
    <w:rPr>
      <w:rFonts w:ascii="Arial" w:eastAsia="Arial Unicode MS" w:hAnsi="Arial"/>
      <w:b/>
      <w:bCs/>
      <w:sz w:val="20"/>
      <w:szCs w:val="20"/>
    </w:rPr>
  </w:style>
  <w:style w:type="character" w:styleId="Platzhaltertext">
    <w:name w:val="Placeholder Text"/>
    <w:basedOn w:val="Absatz-Standardschriftart"/>
    <w:rPr>
      <w:color w:val="808080"/>
    </w:rPr>
  </w:style>
  <w:style w:type="character" w:customStyle="1" w:styleId="ListLabel1">
    <w:name w:val="ListLabel 1"/>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sz w:val="24"/>
      <w:szCs w:val="24"/>
    </w:rPr>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pPr>
      <w:tabs>
        <w:tab w:val="center" w:pos="4536"/>
        <w:tab w:val="right" w:pos="9072"/>
      </w:tabs>
      <w:spacing w:after="240"/>
    </w:pPr>
    <w:rPr>
      <w:sz w:val="16"/>
    </w:rPr>
  </w:style>
  <w:style w:type="paragraph" w:styleId="Fuzeile">
    <w:name w:val="footer"/>
    <w:basedOn w:val="Standard"/>
    <w:uiPriority w:val="99"/>
    <w:pPr>
      <w:tabs>
        <w:tab w:val="center" w:pos="4536"/>
        <w:tab w:val="right" w:pos="9072"/>
      </w:tabs>
      <w:jc w:val="center"/>
    </w:pPr>
    <w:rPr>
      <w:sz w:val="16"/>
    </w:rPr>
  </w:style>
  <w:style w:type="paragraph" w:customStyle="1" w:styleId="Titelzeile">
    <w:name w:val="Titelzeile"/>
    <w:basedOn w:val="Standard"/>
    <w:pPr>
      <w:pBdr>
        <w:bottom w:val="single" w:sz="4" w:space="1" w:color="00000A"/>
      </w:pBdr>
      <w:spacing w:before="120" w:after="360"/>
    </w:pPr>
    <w:rPr>
      <w:sz w:val="48"/>
      <w:szCs w:val="48"/>
    </w:rPr>
  </w:style>
  <w:style w:type="paragraph" w:styleId="Titel">
    <w:name w:val="Title"/>
    <w:basedOn w:val="Standard"/>
    <w:next w:val="Standard"/>
    <w:pPr>
      <w:pBdr>
        <w:bottom w:val="single" w:sz="12" w:space="1" w:color="003A79"/>
      </w:pBdr>
      <w:spacing w:before="240" w:after="300"/>
      <w:contextualSpacing/>
      <w:jc w:val="center"/>
    </w:pPr>
    <w:rPr>
      <w:rFonts w:eastAsia="Times New Roman"/>
      <w:color w:val="003A79"/>
      <w:spacing w:val="5"/>
      <w:sz w:val="52"/>
      <w:szCs w:val="52"/>
    </w:rPr>
  </w:style>
  <w:style w:type="paragraph" w:styleId="Sprechblasentext">
    <w:name w:val="Balloon Text"/>
    <w:basedOn w:val="Standard"/>
    <w:rPr>
      <w:rFonts w:ascii="Tahoma" w:hAnsi="Tahoma" w:cs="Tahoma"/>
      <w:sz w:val="16"/>
      <w:szCs w:val="16"/>
    </w:rPr>
  </w:style>
  <w:style w:type="paragraph" w:customStyle="1" w:styleId="Aufzhlung2">
    <w:name w:val="Aufzählung 2"/>
    <w:basedOn w:val="Liste"/>
    <w:pPr>
      <w:ind w:left="1134" w:hanging="567"/>
    </w:pPr>
  </w:style>
  <w:style w:type="paragraph" w:customStyle="1" w:styleId="Aufzhlung3">
    <w:name w:val="Aufzählung 3"/>
    <w:basedOn w:val="Aufzhlung2"/>
  </w:style>
  <w:style w:type="paragraph" w:customStyle="1" w:styleId="Aufzhlung4">
    <w:name w:val="Aufzählung 4"/>
    <w:basedOn w:val="Aufzhlung3"/>
    <w:pPr>
      <w:ind w:left="2268"/>
    </w:pPr>
  </w:style>
  <w:style w:type="paragraph" w:customStyle="1" w:styleId="Aufzhlung5">
    <w:name w:val="Aufzählung 5"/>
    <w:basedOn w:val="Standard"/>
    <w:pPr>
      <w:spacing w:before="120" w:after="120"/>
      <w:ind w:left="2835" w:hanging="567"/>
      <w:contextualSpacing/>
    </w:pPr>
  </w:style>
  <w:style w:type="paragraph" w:styleId="Listenabsatz">
    <w:name w:val="List Paragraph"/>
    <w:basedOn w:val="Standard"/>
    <w:pPr>
      <w:spacing w:before="120" w:after="120"/>
      <w:ind w:left="720"/>
      <w:contextualSpacing/>
    </w:pPr>
  </w:style>
  <w:style w:type="paragraph" w:customStyle="1" w:styleId="Einzelaufgabe">
    <w:name w:val="Einzelaufgabe"/>
    <w:basedOn w:val="Liste"/>
    <w:pPr>
      <w:tabs>
        <w:tab w:val="left" w:pos="2835"/>
        <w:tab w:val="right" w:pos="9639"/>
      </w:tabs>
      <w:suppressAutoHyphens w:val="0"/>
      <w:spacing w:before="120" w:after="0"/>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numbering" w:customStyle="1" w:styleId="NummerierungmitGliederung">
    <w:name w:val="Nummerierung mit Gliederung"/>
  </w:style>
  <w:style w:type="numbering" w:customStyle="1" w:styleId="AufzhlungmitGliederung">
    <w:name w:val="Aufzählung mit Gliederu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sander</dc:creator>
  <cp:lastModifiedBy>Medien_Fak.V</cp:lastModifiedBy>
  <cp:revision>3</cp:revision>
  <dcterms:created xsi:type="dcterms:W3CDTF">2019-05-09T09:03:00Z</dcterms:created>
  <dcterms:modified xsi:type="dcterms:W3CDTF">2019-05-17T09:01:00Z</dcterms:modified>
  <dc:language>de-DE</dc:language>
</cp:coreProperties>
</file>